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56" w:rsidRDefault="00A207FC" w:rsidP="00232B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bookmarkStart w:id="0" w:name="_GoBack"/>
      <w:bookmarkEnd w:id="0"/>
      <w:r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</w:t>
      </w:r>
      <w:r w:rsidR="003D0D9F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nexă </w:t>
      </w:r>
    </w:p>
    <w:p w:rsidR="00C61E1E" w:rsidRPr="00232B22" w:rsidRDefault="00225C56" w:rsidP="00232B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la </w:t>
      </w:r>
      <w:r w:rsidR="003D0D9F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Decizia nr.</w:t>
      </w:r>
      <w:r w:rsidR="00232B22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19 </w:t>
      </w:r>
      <w:r w:rsidR="003D0D9F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din</w:t>
      </w:r>
      <w:r w:rsidR="00232B22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14 august </w:t>
      </w:r>
      <w:r w:rsidR="003D0D9F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2019</w:t>
      </w:r>
      <w:r w:rsidR="003D0D9F" w:rsidRPr="00232B22">
        <w:rPr>
          <w:rFonts w:ascii="Times New Roman" w:eastAsia="Times New Roman" w:hAnsi="Times New Roman" w:cs="Times New Roman"/>
          <w:b/>
          <w:sz w:val="27"/>
          <w:szCs w:val="27"/>
          <w:lang w:val="it-IT" w:eastAsia="ru-RU"/>
        </w:rPr>
        <w:t xml:space="preserve">      </w:t>
      </w:r>
      <w:r w:rsidR="003D0D9F" w:rsidRPr="00232B2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</w:p>
    <w:p w:rsidR="00A207FC" w:rsidRPr="00A207FC" w:rsidRDefault="00C61E1E" w:rsidP="00C61E1E">
      <w:pPr>
        <w:spacing w:after="0"/>
        <w:jc w:val="righ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</w:t>
      </w:r>
    </w:p>
    <w:p w:rsidR="00415D4C" w:rsidRPr="008211B6" w:rsidRDefault="00415D4C" w:rsidP="00415D4C">
      <w:pPr>
        <w:spacing w:after="0"/>
        <w:ind w:left="340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415D4C" w:rsidRPr="00A207FC" w:rsidRDefault="00F577A2" w:rsidP="00415D4C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Informație</w:t>
      </w:r>
    </w:p>
    <w:p w:rsidR="00A207FC" w:rsidRPr="00A207FC" w:rsidRDefault="00A207FC" w:rsidP="00415D4C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07FC">
        <w:rPr>
          <w:rFonts w:ascii="Times New Roman" w:hAnsi="Times New Roman" w:cs="Times New Roman"/>
          <w:b/>
          <w:sz w:val="27"/>
          <w:szCs w:val="27"/>
        </w:rPr>
        <w:t>privind factorii care generează riscuri reduse și</w:t>
      </w:r>
    </w:p>
    <w:p w:rsidR="009D0E14" w:rsidRPr="00A207FC" w:rsidRDefault="00A207FC" w:rsidP="009D0E14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07FC">
        <w:rPr>
          <w:rFonts w:ascii="Times New Roman" w:hAnsi="Times New Roman" w:cs="Times New Roman"/>
          <w:b/>
          <w:sz w:val="27"/>
          <w:szCs w:val="27"/>
        </w:rPr>
        <w:t>sporite de spălare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207FC">
        <w:rPr>
          <w:rFonts w:ascii="Times New Roman" w:hAnsi="Times New Roman" w:cs="Times New Roman"/>
          <w:b/>
          <w:sz w:val="27"/>
          <w:szCs w:val="27"/>
        </w:rPr>
        <w:t xml:space="preserve">a banilor și </w:t>
      </w:r>
      <w:r>
        <w:rPr>
          <w:rFonts w:ascii="Times New Roman" w:hAnsi="Times New Roman" w:cs="Times New Roman"/>
          <w:b/>
          <w:sz w:val="27"/>
          <w:szCs w:val="27"/>
        </w:rPr>
        <w:t>finanțării terorismului</w:t>
      </w:r>
    </w:p>
    <w:p w:rsidR="00A207FC" w:rsidRDefault="00A207FC" w:rsidP="00415D4C">
      <w:pPr>
        <w:spacing w:after="0"/>
        <w:ind w:left="340"/>
        <w:jc w:val="center"/>
        <w:rPr>
          <w:rFonts w:ascii="Times New Roman" w:hAnsi="Times New Roman" w:cs="Times New Roman"/>
          <w:sz w:val="27"/>
          <w:szCs w:val="27"/>
        </w:rPr>
      </w:pPr>
    </w:p>
    <w:p w:rsidR="00B2156C" w:rsidRPr="009D0E14" w:rsidRDefault="00F577A2" w:rsidP="009D0E14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      Prezenta</w:t>
      </w:r>
      <w:r w:rsidR="00A207FC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Pr="009D0E14">
        <w:rPr>
          <w:rFonts w:ascii="Times New Roman" w:hAnsi="Times New Roman" w:cs="Times New Roman"/>
          <w:sz w:val="27"/>
          <w:szCs w:val="27"/>
        </w:rPr>
        <w:t>Informație</w:t>
      </w:r>
      <w:r w:rsidR="00A207FC" w:rsidRPr="009D0E14">
        <w:rPr>
          <w:rFonts w:ascii="Times New Roman" w:hAnsi="Times New Roman" w:cs="Times New Roman"/>
          <w:sz w:val="27"/>
          <w:szCs w:val="27"/>
        </w:rPr>
        <w:t xml:space="preserve"> este elaborat</w:t>
      </w:r>
      <w:r w:rsidRPr="009D0E14">
        <w:rPr>
          <w:rFonts w:ascii="Times New Roman" w:hAnsi="Times New Roman" w:cs="Times New Roman"/>
          <w:sz w:val="27"/>
          <w:szCs w:val="27"/>
        </w:rPr>
        <w:t>ă</w:t>
      </w:r>
      <w:r w:rsidR="00A207FC" w:rsidRPr="009D0E14">
        <w:rPr>
          <w:rFonts w:ascii="Times New Roman" w:hAnsi="Times New Roman" w:cs="Times New Roman"/>
          <w:sz w:val="27"/>
          <w:szCs w:val="27"/>
        </w:rPr>
        <w:t xml:space="preserve"> în conform</w:t>
      </w:r>
      <w:r w:rsidR="00B2156C" w:rsidRPr="009D0E14">
        <w:rPr>
          <w:rFonts w:ascii="Times New Roman" w:hAnsi="Times New Roman" w:cs="Times New Roman"/>
          <w:sz w:val="27"/>
          <w:szCs w:val="27"/>
        </w:rPr>
        <w:t>itate cu prevederile art.6 alin.</w:t>
      </w:r>
      <w:r w:rsidR="00A207FC" w:rsidRPr="009D0E14">
        <w:rPr>
          <w:rFonts w:ascii="Times New Roman" w:hAnsi="Times New Roman" w:cs="Times New Roman"/>
          <w:sz w:val="27"/>
          <w:szCs w:val="27"/>
        </w:rPr>
        <w:t>(</w:t>
      </w:r>
      <w:r w:rsidR="00B750E0" w:rsidRPr="009D0E14">
        <w:rPr>
          <w:rFonts w:ascii="Times New Roman" w:hAnsi="Times New Roman" w:cs="Times New Roman"/>
          <w:sz w:val="27"/>
          <w:szCs w:val="27"/>
        </w:rPr>
        <w:t>11</w:t>
      </w:r>
      <w:r w:rsidR="00D91AD0" w:rsidRPr="009D0E14">
        <w:rPr>
          <w:rFonts w:ascii="Times New Roman" w:hAnsi="Times New Roman" w:cs="Times New Roman"/>
          <w:sz w:val="27"/>
          <w:szCs w:val="27"/>
        </w:rPr>
        <w:t>) al Legii nr.308/</w:t>
      </w:r>
      <w:r w:rsidR="00B2156C" w:rsidRPr="009D0E14">
        <w:rPr>
          <w:rFonts w:ascii="Times New Roman" w:hAnsi="Times New Roman" w:cs="Times New Roman"/>
          <w:sz w:val="27"/>
          <w:szCs w:val="27"/>
        </w:rPr>
        <w:t>2017 cu privire la prevenirea și combaterea spălării banilor și finanțării terorismului și pct.3 al Hotărîrii Guvernului nr.496 din 25.05.2018 pentru aprobarea Metodologiei p</w:t>
      </w:r>
      <w:r w:rsidR="00B750E0" w:rsidRPr="009D0E14">
        <w:rPr>
          <w:rFonts w:ascii="Times New Roman" w:hAnsi="Times New Roman" w:cs="Times New Roman"/>
          <w:sz w:val="27"/>
          <w:szCs w:val="27"/>
        </w:rPr>
        <w:t>rivind identificarea activităților</w:t>
      </w:r>
      <w:r w:rsidR="00B2156C" w:rsidRPr="009D0E14">
        <w:rPr>
          <w:rFonts w:ascii="Times New Roman" w:hAnsi="Times New Roman" w:cs="Times New Roman"/>
          <w:sz w:val="27"/>
          <w:szCs w:val="27"/>
        </w:rPr>
        <w:t xml:space="preserve"> și tranzacțiilor suspecte de spălare a banilor și finanțare a terorismului.</w:t>
      </w:r>
    </w:p>
    <w:p w:rsidR="000A2B7C" w:rsidRPr="009D0E14" w:rsidRDefault="000A2B7C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Conform   prevederilor art.</w:t>
      </w:r>
      <w:r w:rsidR="000B5A40" w:rsidRPr="009D0E14">
        <w:rPr>
          <w:rFonts w:ascii="Times New Roman" w:hAnsi="Times New Roman" w:cs="Times New Roman"/>
          <w:sz w:val="27"/>
          <w:szCs w:val="27"/>
        </w:rPr>
        <w:t>10 alin.(5) lit.a) al Legii nr.</w:t>
      </w:r>
      <w:r w:rsidRPr="009D0E14">
        <w:rPr>
          <w:rFonts w:ascii="Times New Roman" w:hAnsi="Times New Roman" w:cs="Times New Roman"/>
          <w:sz w:val="27"/>
          <w:szCs w:val="27"/>
        </w:rPr>
        <w:t>61-XVI  din  16.03.2007 privind activitatea de audit</w:t>
      </w:r>
      <w:r w:rsidR="000B5A40" w:rsidRPr="009D0E14">
        <w:rPr>
          <w:rFonts w:ascii="Times New Roman" w:hAnsi="Times New Roman" w:cs="Times New Roman"/>
          <w:sz w:val="27"/>
          <w:szCs w:val="27"/>
        </w:rPr>
        <w:t xml:space="preserve"> (în vigoare pînă la 31.12.2018) și art.24 alin.(4) al Legii nr.271/2017 privind auditul situațiilor financiare</w:t>
      </w:r>
      <w:r w:rsidRPr="009D0E14">
        <w:rPr>
          <w:rFonts w:ascii="Times New Roman" w:hAnsi="Times New Roman" w:cs="Times New Roman"/>
          <w:sz w:val="27"/>
          <w:szCs w:val="27"/>
        </w:rPr>
        <w:t>, precum și a Anexelor nr.1 și nr.2 la Ordinul ministru</w:t>
      </w:r>
      <w:r w:rsidR="000B5A40" w:rsidRPr="009D0E14">
        <w:rPr>
          <w:rFonts w:ascii="Times New Roman" w:hAnsi="Times New Roman" w:cs="Times New Roman"/>
          <w:sz w:val="27"/>
          <w:szCs w:val="27"/>
        </w:rPr>
        <w:t>lui finanţelor nr.61/</w:t>
      </w:r>
      <w:r w:rsidRPr="009D0E14">
        <w:rPr>
          <w:rFonts w:ascii="Times New Roman" w:hAnsi="Times New Roman" w:cs="Times New Roman"/>
          <w:sz w:val="27"/>
          <w:szCs w:val="27"/>
        </w:rPr>
        <w:t xml:space="preserve">2012 </w:t>
      </w:r>
      <w:r w:rsidR="000B5A40" w:rsidRPr="009D0E14">
        <w:rPr>
          <w:rFonts w:ascii="Times New Roman" w:hAnsi="Times New Roman" w:cs="Times New Roman"/>
          <w:sz w:val="27"/>
          <w:szCs w:val="27"/>
        </w:rPr>
        <w:t>c</w:t>
      </w:r>
      <w:r w:rsidRPr="009D0E14">
        <w:rPr>
          <w:rFonts w:ascii="Times New Roman" w:hAnsi="Times New Roman" w:cs="Times New Roman"/>
          <w:sz w:val="27"/>
          <w:szCs w:val="27"/>
        </w:rPr>
        <w:t xml:space="preserve">u privire la aprobarea unor acte normative în domeniul activităţii de audit, </w:t>
      </w:r>
      <w:r w:rsidR="000B5A40" w:rsidRPr="009D0E14">
        <w:rPr>
          <w:rFonts w:ascii="Times New Roman" w:hAnsi="Times New Roman" w:cs="Times New Roman"/>
          <w:sz w:val="27"/>
          <w:szCs w:val="27"/>
        </w:rPr>
        <w:t xml:space="preserve">entitățile de audit </w:t>
      </w:r>
      <w:r w:rsidRPr="009D0E14">
        <w:rPr>
          <w:rFonts w:ascii="Times New Roman" w:hAnsi="Times New Roman" w:cs="Times New Roman"/>
          <w:sz w:val="27"/>
          <w:szCs w:val="27"/>
        </w:rPr>
        <w:t xml:space="preserve">prezintă anual </w:t>
      </w:r>
      <w:r w:rsidR="000B5A40" w:rsidRPr="009D0E14">
        <w:rPr>
          <w:rFonts w:ascii="Times New Roman" w:hAnsi="Times New Roman" w:cs="Times New Roman"/>
          <w:sz w:val="27"/>
          <w:szCs w:val="27"/>
        </w:rPr>
        <w:t>I.P. „</w:t>
      </w:r>
      <w:r w:rsidRPr="009D0E14">
        <w:rPr>
          <w:rFonts w:ascii="Times New Roman" w:hAnsi="Times New Roman" w:cs="Times New Roman"/>
          <w:sz w:val="27"/>
          <w:szCs w:val="27"/>
        </w:rPr>
        <w:t xml:space="preserve">Consiliului de supraveghere </w:t>
      </w:r>
      <w:r w:rsidR="000B5A40" w:rsidRPr="009D0E14">
        <w:rPr>
          <w:rFonts w:ascii="Times New Roman" w:hAnsi="Times New Roman" w:cs="Times New Roman"/>
          <w:sz w:val="27"/>
          <w:szCs w:val="27"/>
        </w:rPr>
        <w:t xml:space="preserve">publică </w:t>
      </w:r>
      <w:r w:rsidRPr="009D0E14">
        <w:rPr>
          <w:rFonts w:ascii="Times New Roman" w:hAnsi="Times New Roman" w:cs="Times New Roman"/>
          <w:sz w:val="27"/>
          <w:szCs w:val="27"/>
        </w:rPr>
        <w:t>a audit</w:t>
      </w:r>
      <w:r w:rsidR="000B5A40" w:rsidRPr="009D0E14">
        <w:rPr>
          <w:rFonts w:ascii="Times New Roman" w:hAnsi="Times New Roman" w:cs="Times New Roman"/>
          <w:sz w:val="27"/>
          <w:szCs w:val="27"/>
        </w:rPr>
        <w:t>ului”</w:t>
      </w:r>
      <w:r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0B5A40" w:rsidRPr="009D0E14">
        <w:rPr>
          <w:rFonts w:ascii="Times New Roman" w:hAnsi="Times New Roman" w:cs="Times New Roman"/>
          <w:sz w:val="27"/>
          <w:szCs w:val="27"/>
        </w:rPr>
        <w:t>în termen de 4 luni de la sfîrșitu</w:t>
      </w:r>
      <w:r w:rsidR="0024472B">
        <w:rPr>
          <w:rFonts w:ascii="Times New Roman" w:hAnsi="Times New Roman" w:cs="Times New Roman"/>
          <w:sz w:val="27"/>
          <w:szCs w:val="27"/>
        </w:rPr>
        <w:t>l fiecărei perioade de gestiune I</w:t>
      </w:r>
      <w:r w:rsidR="000B5A40" w:rsidRPr="009D0E14">
        <w:rPr>
          <w:rFonts w:ascii="Times New Roman" w:hAnsi="Times New Roman" w:cs="Times New Roman"/>
          <w:sz w:val="27"/>
          <w:szCs w:val="27"/>
        </w:rPr>
        <w:t>nformaţia</w:t>
      </w:r>
      <w:r w:rsidRPr="009D0E14">
        <w:rPr>
          <w:rFonts w:ascii="Times New Roman" w:hAnsi="Times New Roman" w:cs="Times New Roman"/>
          <w:sz w:val="27"/>
          <w:szCs w:val="27"/>
        </w:rPr>
        <w:t xml:space="preserve"> privind respectarea procedurilor de control al calităţii lucrărilor de audit, stabilite de standardele de audit.</w:t>
      </w:r>
    </w:p>
    <w:p w:rsidR="00205960" w:rsidRPr="009D0E14" w:rsidRDefault="001503CB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P</w:t>
      </w:r>
      <w:r w:rsidR="00340360" w:rsidRPr="009D0E14">
        <w:rPr>
          <w:rFonts w:ascii="Times New Roman" w:hAnsi="Times New Roman" w:cs="Times New Roman"/>
          <w:sz w:val="27"/>
          <w:szCs w:val="27"/>
        </w:rPr>
        <w:t>otrivit datelor prezentate în Informaţiile privind respectarea procedurilor de control al calităţii lucr</w:t>
      </w:r>
      <w:r w:rsidR="00F00FEB" w:rsidRPr="009D0E14">
        <w:rPr>
          <w:rFonts w:ascii="Times New Roman" w:hAnsi="Times New Roman" w:cs="Times New Roman"/>
          <w:sz w:val="27"/>
          <w:szCs w:val="27"/>
        </w:rPr>
        <w:t>ărilor de audit pentru anul 2018</w:t>
      </w:r>
      <w:r w:rsidR="00340360"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F00FEB" w:rsidRPr="009D0E14">
        <w:rPr>
          <w:rFonts w:ascii="Times New Roman" w:hAnsi="Times New Roman" w:cs="Times New Roman"/>
          <w:sz w:val="27"/>
          <w:szCs w:val="27"/>
        </w:rPr>
        <w:t>entitățile de audit</w:t>
      </w:r>
      <w:r w:rsidR="00340360" w:rsidRPr="009D0E14">
        <w:rPr>
          <w:rFonts w:ascii="Times New Roman" w:hAnsi="Times New Roman" w:cs="Times New Roman"/>
          <w:sz w:val="27"/>
          <w:szCs w:val="27"/>
        </w:rPr>
        <w:t xml:space="preserve"> a</w:t>
      </w:r>
      <w:r w:rsidRPr="009D0E14">
        <w:rPr>
          <w:rFonts w:ascii="Times New Roman" w:hAnsi="Times New Roman" w:cs="Times New Roman"/>
          <w:sz w:val="27"/>
          <w:szCs w:val="27"/>
        </w:rPr>
        <w:t xml:space="preserve">u </w:t>
      </w:r>
      <w:r w:rsidR="00B029F8" w:rsidRPr="009D0E14">
        <w:rPr>
          <w:rFonts w:ascii="Times New Roman" w:hAnsi="Times New Roman" w:cs="Times New Roman"/>
          <w:sz w:val="27"/>
          <w:szCs w:val="27"/>
        </w:rPr>
        <w:t>raporta</w:t>
      </w:r>
      <w:r w:rsidRPr="009D0E14">
        <w:rPr>
          <w:rFonts w:ascii="Times New Roman" w:hAnsi="Times New Roman" w:cs="Times New Roman"/>
          <w:sz w:val="27"/>
          <w:szCs w:val="27"/>
        </w:rPr>
        <w:t>t măsurile</w:t>
      </w:r>
      <w:r w:rsidR="00340360" w:rsidRPr="009D0E14">
        <w:rPr>
          <w:rFonts w:ascii="Times New Roman" w:hAnsi="Times New Roman" w:cs="Times New Roman"/>
          <w:sz w:val="27"/>
          <w:szCs w:val="27"/>
        </w:rPr>
        <w:t xml:space="preserve"> de prevenire şi combatere a spălării banilor şi finanţării terorismului</w:t>
      </w:r>
      <w:r w:rsidR="00B750E0" w:rsidRPr="009D0E14">
        <w:rPr>
          <w:rFonts w:ascii="Times New Roman" w:hAnsi="Times New Roman" w:cs="Times New Roman"/>
          <w:sz w:val="27"/>
          <w:szCs w:val="27"/>
        </w:rPr>
        <w:t xml:space="preserve"> (SBFT)</w:t>
      </w:r>
      <w:r w:rsidR="001C6953" w:rsidRPr="009D0E14">
        <w:rPr>
          <w:rFonts w:ascii="Times New Roman" w:hAnsi="Times New Roman" w:cs="Times New Roman"/>
          <w:sz w:val="27"/>
          <w:szCs w:val="27"/>
        </w:rPr>
        <w:t>,</w:t>
      </w:r>
      <w:r w:rsidR="00B029F8" w:rsidRPr="009D0E14">
        <w:rPr>
          <w:rFonts w:ascii="Times New Roman" w:hAnsi="Times New Roman" w:cs="Times New Roman"/>
          <w:sz w:val="27"/>
          <w:szCs w:val="27"/>
        </w:rPr>
        <w:t xml:space="preserve"> aplicate în procesul desfășurării activității de audit, după cum urmează</w:t>
      </w:r>
      <w:r w:rsidR="001C6953" w:rsidRPr="009D0E14">
        <w:rPr>
          <w:rFonts w:ascii="Times New Roman" w:hAnsi="Times New Roman" w:cs="Times New Roman"/>
          <w:sz w:val="27"/>
          <w:szCs w:val="27"/>
        </w:rPr>
        <w:t>:</w:t>
      </w:r>
    </w:p>
    <w:p w:rsidR="00D60A90" w:rsidRPr="009D0E14" w:rsidRDefault="00D60A90" w:rsidP="009D0E14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662"/>
        <w:gridCol w:w="1694"/>
      </w:tblGrid>
      <w:tr w:rsidR="001C6953" w:rsidRPr="009D0E14" w:rsidTr="003E41AE">
        <w:trPr>
          <w:trHeight w:val="318"/>
        </w:trPr>
        <w:tc>
          <w:tcPr>
            <w:tcW w:w="7662" w:type="dxa"/>
            <w:shd w:val="clear" w:color="auto" w:fill="auto"/>
          </w:tcPr>
          <w:p w:rsidR="001C6953" w:rsidRPr="009D0E14" w:rsidRDefault="009D0E14" w:rsidP="009D0E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Entități de audit</w:t>
            </w:r>
            <w:r w:rsidR="001E19B2"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1C6953"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1C6953" w:rsidRPr="009D0E1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total:</w:t>
            </w:r>
          </w:p>
        </w:tc>
        <w:tc>
          <w:tcPr>
            <w:tcW w:w="1694" w:type="dxa"/>
          </w:tcPr>
          <w:p w:rsidR="001C6953" w:rsidRPr="009D0E14" w:rsidRDefault="009D0E14" w:rsidP="009D0E14">
            <w:pPr>
              <w:tabs>
                <w:tab w:val="center" w:pos="937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  <w:r w:rsidR="00F00FEB"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115</w:t>
            </w:r>
          </w:p>
        </w:tc>
      </w:tr>
      <w:tr w:rsidR="009D0E14" w:rsidRPr="009D0E14" w:rsidTr="00C03DC5">
        <w:trPr>
          <w:trHeight w:val="2732"/>
        </w:trPr>
        <w:tc>
          <w:tcPr>
            <w:tcW w:w="7662" w:type="dxa"/>
          </w:tcPr>
          <w:p w:rsidR="009D0E14" w:rsidRPr="009D0E14" w:rsidRDefault="009D0E14" w:rsidP="009D0E1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Existența Politicii cu privire la prevenirea, depistarea și raportarea cazurilor de spălare a banilor și finanțare a terorismului 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(conform Indicațiilor metodice privind aplicarea de către societățile de audit, auditorii întreprinzători individuali a măsurilor de prevenire și combatere a spălării banilor și finanțării terorismului, aprobate prin Ordinul ministrului finanțelor nr.63 din 10.08.2009),</w:t>
            </w:r>
          </w:p>
          <w:p w:rsidR="009D0E14" w:rsidRPr="009D0E14" w:rsidRDefault="009D0E14" w:rsidP="009D0E14">
            <w:pPr>
              <w:ind w:left="2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dintre care:</w:t>
            </w:r>
          </w:p>
          <w:p w:rsidR="009D0E14" w:rsidRPr="009D0E14" w:rsidRDefault="00231826" w:rsidP="00231826">
            <w:pPr>
              <w:pStyle w:val="ListParagraph"/>
              <w:numPr>
                <w:ilvl w:val="0"/>
                <w:numId w:val="1"/>
              </w:numPr>
              <w:ind w:left="454"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D0E14" w:rsidRPr="009D0E14">
              <w:rPr>
                <w:rFonts w:ascii="Times New Roman" w:hAnsi="Times New Roman" w:cs="Times New Roman"/>
                <w:sz w:val="27"/>
                <w:szCs w:val="27"/>
              </w:rPr>
              <w:t>au raportat elaborarea și aplicarea Politicii</w:t>
            </w:r>
          </w:p>
          <w:p w:rsidR="009D0E14" w:rsidRPr="009D0E14" w:rsidRDefault="00231826" w:rsidP="00231826">
            <w:pPr>
              <w:pStyle w:val="ListParagraph"/>
              <w:numPr>
                <w:ilvl w:val="0"/>
                <w:numId w:val="1"/>
              </w:numPr>
              <w:ind w:left="458" w:firstLine="70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D0E14" w:rsidRPr="009D0E14">
              <w:rPr>
                <w:rFonts w:ascii="Times New Roman" w:hAnsi="Times New Roman" w:cs="Times New Roman"/>
                <w:sz w:val="27"/>
                <w:szCs w:val="27"/>
              </w:rPr>
              <w:t>au raportat lipsa elaborării și aplicării Politicii</w:t>
            </w:r>
          </w:p>
        </w:tc>
        <w:tc>
          <w:tcPr>
            <w:tcW w:w="1694" w:type="dxa"/>
          </w:tcPr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Default="009D0E14" w:rsidP="00564E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64E3F" w:rsidRDefault="00564E3F" w:rsidP="00564E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64E3F" w:rsidRPr="009D0E14" w:rsidRDefault="00564E3F" w:rsidP="00564E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9D0E14" w:rsidRPr="009D0E14" w:rsidTr="00DB0FDA">
        <w:trPr>
          <w:trHeight w:val="2473"/>
        </w:trPr>
        <w:tc>
          <w:tcPr>
            <w:tcW w:w="7662" w:type="dxa"/>
          </w:tcPr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Locul integrării procedurilor de evaluare a riscului aferent tranzacțiilor de SBFT,</w:t>
            </w:r>
          </w:p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dintre care au raportat:</w:t>
            </w:r>
          </w:p>
          <w:p w:rsidR="009D0E14" w:rsidRPr="009D0E14" w:rsidRDefault="009D0E14" w:rsidP="009D0E14">
            <w:pPr>
              <w:pStyle w:val="ListParagraph"/>
              <w:numPr>
                <w:ilvl w:val="0"/>
                <w:numId w:val="4"/>
              </w:numPr>
              <w:ind w:left="397" w:firstLine="70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pînă la acceptarea misiunii de audit                                    </w:t>
            </w:r>
          </w:p>
          <w:p w:rsidR="009D0E14" w:rsidRPr="009D0E14" w:rsidRDefault="009D0E14" w:rsidP="009D0E14">
            <w:pPr>
              <w:ind w:left="72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  2. pînă la acceptarea, dar și în procesul desfășurării misiunii de audit</w:t>
            </w:r>
          </w:p>
          <w:p w:rsidR="009D0E14" w:rsidRPr="009D0E14" w:rsidRDefault="009D0E14" w:rsidP="009D0E14">
            <w:pPr>
              <w:pStyle w:val="ListParagraph"/>
              <w:ind w:left="1106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3. în procesul desfășurării misiunii de audit</w:t>
            </w:r>
          </w:p>
          <w:p w:rsidR="009D0E14" w:rsidRPr="009D0E14" w:rsidRDefault="009D0E14" w:rsidP="009D0E14">
            <w:pPr>
              <w:pStyle w:val="ListParagraph"/>
              <w:ind w:left="1106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4. lipsa integrării procedurilor</w:t>
            </w:r>
          </w:p>
        </w:tc>
        <w:tc>
          <w:tcPr>
            <w:tcW w:w="1694" w:type="dxa"/>
          </w:tcPr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tabs>
                <w:tab w:val="right" w:pos="626"/>
                <w:tab w:val="right" w:pos="839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8</w:t>
            </w:r>
          </w:p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17</w:t>
            </w: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 39</w:t>
            </w: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 51</w:t>
            </w:r>
          </w:p>
        </w:tc>
      </w:tr>
      <w:tr w:rsidR="009D0E14" w:rsidRPr="009D0E14" w:rsidTr="00AE07F2">
        <w:trPr>
          <w:trHeight w:val="1794"/>
        </w:trPr>
        <w:tc>
          <w:tcPr>
            <w:tcW w:w="7662" w:type="dxa"/>
          </w:tcPr>
          <w:p w:rsidR="009D0E14" w:rsidRPr="009D0E14" w:rsidRDefault="009D0E14" w:rsidP="009D0E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Evaluarea riscului aferent tranzacțiilor de SBFT,</w:t>
            </w:r>
          </w:p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dintre care au raportat </w:t>
            </w:r>
            <w:r w:rsidR="00457BF3">
              <w:rPr>
                <w:rFonts w:ascii="Times New Roman" w:hAnsi="Times New Roman" w:cs="Times New Roman"/>
                <w:sz w:val="27"/>
                <w:szCs w:val="27"/>
              </w:rPr>
              <w:t>nivelul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riscu</w:t>
            </w:r>
            <w:r w:rsidR="00457BF3">
              <w:rPr>
                <w:rFonts w:ascii="Times New Roman" w:hAnsi="Times New Roman" w:cs="Times New Roman"/>
                <w:sz w:val="27"/>
                <w:szCs w:val="27"/>
              </w:rPr>
              <w:t>lui ca fiind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9D0E14" w:rsidRPr="009D0E14" w:rsidRDefault="009D0E14" w:rsidP="009D0E14">
            <w:pPr>
              <w:pStyle w:val="ListParagraph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redus</w:t>
            </w:r>
          </w:p>
          <w:p w:rsidR="009D0E14" w:rsidRPr="009D0E14" w:rsidRDefault="009D0E14" w:rsidP="009D0E14">
            <w:pPr>
              <w:pStyle w:val="ListParagraph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normal</w:t>
            </w:r>
          </w:p>
          <w:p w:rsidR="009D0E14" w:rsidRPr="009D0E14" w:rsidRDefault="009D0E14" w:rsidP="009D0E14">
            <w:pPr>
              <w:pStyle w:val="ListParagraph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ridicat</w:t>
            </w:r>
          </w:p>
          <w:p w:rsidR="009D0E14" w:rsidRPr="009D0E14" w:rsidRDefault="009D0E14" w:rsidP="009D0E14">
            <w:pPr>
              <w:pStyle w:val="ListParagraph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lipsa evaluării riscului</w:t>
            </w:r>
          </w:p>
        </w:tc>
        <w:tc>
          <w:tcPr>
            <w:tcW w:w="1694" w:type="dxa"/>
          </w:tcPr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165028">
            <w:pPr>
              <w:spacing w:before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 55</w:t>
            </w: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</w:tc>
      </w:tr>
    </w:tbl>
    <w:p w:rsidR="00B750E0" w:rsidRPr="009D0E14" w:rsidRDefault="00B750E0" w:rsidP="009D0E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B7EE0" w:rsidRDefault="00B750E0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Controlul privind respectarea legislației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 aferente domeniului prevenirii</w:t>
      </w:r>
      <w:r w:rsidRPr="009D0E14">
        <w:rPr>
          <w:rFonts w:ascii="Times New Roman" w:hAnsi="Times New Roman" w:cs="Times New Roman"/>
          <w:sz w:val="27"/>
          <w:szCs w:val="27"/>
        </w:rPr>
        <w:t xml:space="preserve"> și combaterii spălării banilor  și finanțăr</w:t>
      </w:r>
      <w:r w:rsidR="00A3608E" w:rsidRPr="009D0E14">
        <w:rPr>
          <w:rFonts w:ascii="Times New Roman" w:hAnsi="Times New Roman" w:cs="Times New Roman"/>
          <w:sz w:val="27"/>
          <w:szCs w:val="27"/>
        </w:rPr>
        <w:t>ii terorismului pentru anul 2018</w:t>
      </w:r>
      <w:r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A3608E" w:rsidRPr="009D0E14">
        <w:rPr>
          <w:rFonts w:ascii="Times New Roman" w:hAnsi="Times New Roman" w:cs="Times New Roman"/>
          <w:sz w:val="27"/>
          <w:szCs w:val="27"/>
        </w:rPr>
        <w:t>a fost efectuat la 115 entități de  audit,</w:t>
      </w:r>
      <w:r w:rsidRPr="009D0E14">
        <w:rPr>
          <w:rFonts w:ascii="Times New Roman" w:hAnsi="Times New Roman" w:cs="Times New Roman"/>
          <w:sz w:val="27"/>
          <w:szCs w:val="27"/>
        </w:rPr>
        <w:t xml:space="preserve"> din oficiu, în procesul pre</w:t>
      </w:r>
      <w:r w:rsidR="007F500D" w:rsidRPr="009D0E14">
        <w:rPr>
          <w:rFonts w:ascii="Times New Roman" w:hAnsi="Times New Roman" w:cs="Times New Roman"/>
          <w:sz w:val="27"/>
          <w:szCs w:val="27"/>
        </w:rPr>
        <w:t xml:space="preserve">zentării de către </w:t>
      </w:r>
      <w:r w:rsidR="00C36005" w:rsidRPr="009D0E14">
        <w:rPr>
          <w:rFonts w:ascii="Times New Roman" w:hAnsi="Times New Roman" w:cs="Times New Roman"/>
          <w:sz w:val="27"/>
          <w:szCs w:val="27"/>
        </w:rPr>
        <w:t>aceștia</w:t>
      </w:r>
      <w:r w:rsidRPr="009D0E14">
        <w:rPr>
          <w:rFonts w:ascii="Times New Roman" w:hAnsi="Times New Roman" w:cs="Times New Roman"/>
          <w:sz w:val="27"/>
          <w:szCs w:val="27"/>
        </w:rPr>
        <w:t>, a Informației privind respectarea procedurilor de control al calității lucr</w:t>
      </w:r>
      <w:r w:rsidR="00A3608E" w:rsidRPr="009D0E14">
        <w:rPr>
          <w:rFonts w:ascii="Times New Roman" w:hAnsi="Times New Roman" w:cs="Times New Roman"/>
          <w:sz w:val="27"/>
          <w:szCs w:val="27"/>
        </w:rPr>
        <w:t>ărilor de audit pentru anul 2018</w:t>
      </w:r>
      <w:r w:rsidRPr="009D0E14">
        <w:rPr>
          <w:rFonts w:ascii="Times New Roman" w:hAnsi="Times New Roman" w:cs="Times New Roman"/>
          <w:sz w:val="27"/>
          <w:szCs w:val="27"/>
        </w:rPr>
        <w:t>.</w:t>
      </w:r>
    </w:p>
    <w:p w:rsidR="00C9477A" w:rsidRPr="009D0E14" w:rsidRDefault="00C9477A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În anul 2018 nu au fost efectuate controale externe de verificare a calității auditului conform Ordinului ministrului finanțelor nr. 43 din 24.03.2014 și din acest motiv nu au fost aplicate sancțiuni disciplinare.</w:t>
      </w:r>
    </w:p>
    <w:p w:rsidR="00DE32F7" w:rsidRPr="009D0E14" w:rsidRDefault="007F500D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L</w:t>
      </w:r>
      <w:r w:rsidR="00AA2A3C" w:rsidRPr="009D0E14">
        <w:rPr>
          <w:rFonts w:ascii="Times New Roman" w:hAnsi="Times New Roman" w:cs="Times New Roman"/>
          <w:sz w:val="27"/>
          <w:szCs w:val="27"/>
        </w:rPr>
        <w:t>ipsa P</w:t>
      </w:r>
      <w:r w:rsidR="008F2FFF" w:rsidRPr="009D0E14">
        <w:rPr>
          <w:rFonts w:ascii="Times New Roman" w:hAnsi="Times New Roman" w:cs="Times New Roman"/>
          <w:sz w:val="27"/>
          <w:szCs w:val="27"/>
        </w:rPr>
        <w:t>oliticilor cu privire la prevenirea, depistarea şi raportarea cazurilor de spălare a banilor</w:t>
      </w:r>
      <w:r w:rsidR="00AA2A3C" w:rsidRPr="009D0E14">
        <w:rPr>
          <w:rFonts w:ascii="Times New Roman" w:hAnsi="Times New Roman" w:cs="Times New Roman"/>
          <w:sz w:val="27"/>
          <w:szCs w:val="27"/>
        </w:rPr>
        <w:t xml:space="preserve"> şi finanţare a terorismului, </w:t>
      </w:r>
      <w:r w:rsidRPr="009D0E14">
        <w:rPr>
          <w:rFonts w:ascii="Times New Roman" w:hAnsi="Times New Roman" w:cs="Times New Roman"/>
          <w:sz w:val="27"/>
          <w:szCs w:val="27"/>
        </w:rPr>
        <w:t xml:space="preserve">integrării procedurilor de evaluare a riscului aferent tranzacțiilor </w:t>
      </w:r>
      <w:r w:rsidR="00681E0E" w:rsidRPr="009D0E14">
        <w:rPr>
          <w:rFonts w:ascii="Times New Roman" w:hAnsi="Times New Roman" w:cs="Times New Roman"/>
          <w:sz w:val="27"/>
          <w:szCs w:val="27"/>
        </w:rPr>
        <w:t>de SBFT</w:t>
      </w:r>
      <w:r w:rsidR="0024202E" w:rsidRPr="009D0E14">
        <w:rPr>
          <w:rFonts w:ascii="Times New Roman" w:hAnsi="Times New Roman" w:cs="Times New Roman"/>
          <w:sz w:val="27"/>
          <w:szCs w:val="27"/>
        </w:rPr>
        <w:t>,</w:t>
      </w:r>
      <w:r w:rsidR="000C13D2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="0024202E" w:rsidRPr="009D0E14">
        <w:rPr>
          <w:rFonts w:ascii="Times New Roman" w:hAnsi="Times New Roman" w:cs="Times New Roman"/>
          <w:sz w:val="27"/>
          <w:szCs w:val="27"/>
        </w:rPr>
        <w:t xml:space="preserve">precum și </w:t>
      </w:r>
      <w:r w:rsidR="00622B54" w:rsidRPr="009D0E14">
        <w:rPr>
          <w:rFonts w:ascii="Times New Roman" w:hAnsi="Times New Roman" w:cs="Times New Roman"/>
          <w:sz w:val="27"/>
          <w:szCs w:val="27"/>
        </w:rPr>
        <w:t xml:space="preserve">evaluării riscului aferent tranzacțiilor </w:t>
      </w:r>
      <w:r w:rsidR="00681E0E" w:rsidRPr="009D0E14">
        <w:rPr>
          <w:rFonts w:ascii="Times New Roman" w:hAnsi="Times New Roman" w:cs="Times New Roman"/>
          <w:sz w:val="27"/>
          <w:szCs w:val="27"/>
        </w:rPr>
        <w:t>de SBFT</w:t>
      </w:r>
      <w:r w:rsidR="0024202E" w:rsidRPr="009D0E14">
        <w:rPr>
          <w:rFonts w:ascii="Times New Roman" w:hAnsi="Times New Roman" w:cs="Times New Roman"/>
          <w:sz w:val="27"/>
          <w:szCs w:val="27"/>
        </w:rPr>
        <w:t xml:space="preserve">, au fost raportate de către 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entitățile de audit </w:t>
      </w:r>
      <w:r w:rsidR="0024202E" w:rsidRPr="009D0E14">
        <w:rPr>
          <w:rFonts w:ascii="Times New Roman" w:hAnsi="Times New Roman" w:cs="Times New Roman"/>
          <w:sz w:val="27"/>
          <w:szCs w:val="27"/>
        </w:rPr>
        <w:t>care nu au desfășurat activitate de audit</w:t>
      </w:r>
      <w:r w:rsidR="00232B22">
        <w:rPr>
          <w:rFonts w:ascii="Times New Roman" w:hAnsi="Times New Roman" w:cs="Times New Roman"/>
          <w:sz w:val="27"/>
          <w:szCs w:val="27"/>
        </w:rPr>
        <w:t>.</w:t>
      </w:r>
    </w:p>
    <w:p w:rsidR="002935F0" w:rsidRDefault="0024202E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Analiza detaliată privind activitatea desfășurată de 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entitățile de audit </w:t>
      </w:r>
      <w:r w:rsidRPr="009D0E14">
        <w:rPr>
          <w:rFonts w:ascii="Times New Roman" w:hAnsi="Times New Roman" w:cs="Times New Roman"/>
          <w:sz w:val="27"/>
          <w:szCs w:val="27"/>
        </w:rPr>
        <w:t xml:space="preserve">este prezentată în Informația privind piața serviciilor </w:t>
      </w:r>
      <w:r w:rsidR="00A3608E" w:rsidRPr="009D0E14">
        <w:rPr>
          <w:rFonts w:ascii="Times New Roman" w:hAnsi="Times New Roman" w:cs="Times New Roman"/>
          <w:sz w:val="27"/>
          <w:szCs w:val="27"/>
        </w:rPr>
        <w:t>de audit pentru anul 2018</w:t>
      </w:r>
      <w:r w:rsidR="00C9477A">
        <w:rPr>
          <w:rFonts w:ascii="Times New Roman" w:hAnsi="Times New Roman" w:cs="Times New Roman"/>
          <w:sz w:val="27"/>
          <w:szCs w:val="27"/>
        </w:rPr>
        <w:t>, plasată pe pagina web oficială a Consiliului.</w:t>
      </w:r>
    </w:p>
    <w:p w:rsidR="00B64B8C" w:rsidRPr="009D0E14" w:rsidRDefault="00A3608E" w:rsidP="009D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Pe parcursul anului 2018</w:t>
      </w:r>
      <w:r w:rsidR="006F466A" w:rsidRPr="009D0E14">
        <w:rPr>
          <w:rFonts w:ascii="Times New Roman" w:hAnsi="Times New Roman" w:cs="Times New Roman"/>
          <w:sz w:val="27"/>
          <w:szCs w:val="27"/>
        </w:rPr>
        <w:t xml:space="preserve"> au participat la instruiri </w:t>
      </w:r>
      <w:r w:rsidR="00B64B8C" w:rsidRPr="009D0E14">
        <w:rPr>
          <w:rFonts w:ascii="Times New Roman" w:hAnsi="Times New Roman" w:cs="Times New Roman"/>
          <w:sz w:val="27"/>
          <w:szCs w:val="27"/>
        </w:rPr>
        <w:t>în domeniul SBFT</w:t>
      </w:r>
      <w:r w:rsidR="00B55B84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="006D6E8F" w:rsidRPr="009D0E14">
        <w:rPr>
          <w:rFonts w:ascii="Times New Roman" w:hAnsi="Times New Roman" w:cs="Times New Roman"/>
          <w:sz w:val="27"/>
          <w:szCs w:val="27"/>
        </w:rPr>
        <w:t xml:space="preserve">din cadrul </w:t>
      </w:r>
      <w:r w:rsidR="00B64B8C" w:rsidRPr="009D0E14">
        <w:rPr>
          <w:rFonts w:ascii="Times New Roman" w:hAnsi="Times New Roman" w:cs="Times New Roman"/>
          <w:sz w:val="27"/>
          <w:szCs w:val="27"/>
        </w:rPr>
        <w:t>Centrul</w:t>
      </w:r>
      <w:r w:rsidR="00361503" w:rsidRPr="009D0E14">
        <w:rPr>
          <w:rFonts w:ascii="Times New Roman" w:hAnsi="Times New Roman" w:cs="Times New Roman"/>
          <w:sz w:val="27"/>
          <w:szCs w:val="27"/>
        </w:rPr>
        <w:t>ui</w:t>
      </w:r>
      <w:r w:rsidR="00B64B8C" w:rsidRPr="009D0E14">
        <w:rPr>
          <w:rFonts w:ascii="Times New Roman" w:hAnsi="Times New Roman" w:cs="Times New Roman"/>
          <w:sz w:val="27"/>
          <w:szCs w:val="27"/>
        </w:rPr>
        <w:t xml:space="preserve"> de Instr</w:t>
      </w:r>
      <w:r w:rsidR="00361503" w:rsidRPr="009D0E14">
        <w:rPr>
          <w:rFonts w:ascii="Times New Roman" w:hAnsi="Times New Roman" w:cs="Times New Roman"/>
          <w:sz w:val="27"/>
          <w:szCs w:val="27"/>
        </w:rPr>
        <w:t>uire Profesională a Auditorilor (CIPAM)</w:t>
      </w:r>
      <w:r w:rsidR="00B64B8C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="00BB076B" w:rsidRPr="009D0E14">
        <w:rPr>
          <w:rFonts w:ascii="Times New Roman" w:hAnsi="Times New Roman" w:cs="Times New Roman"/>
          <w:sz w:val="27"/>
          <w:szCs w:val="27"/>
        </w:rPr>
        <w:t>–</w:t>
      </w:r>
      <w:r w:rsidR="00B64B8C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="002935F0" w:rsidRPr="002935F0">
        <w:rPr>
          <w:rFonts w:ascii="Times New Roman" w:hAnsi="Times New Roman" w:cs="Times New Roman"/>
          <w:sz w:val="27"/>
          <w:szCs w:val="27"/>
        </w:rPr>
        <w:t>17</w:t>
      </w:r>
      <w:r w:rsidR="00C70EFC" w:rsidRPr="009D0E14">
        <w:rPr>
          <w:rFonts w:ascii="Times New Roman" w:hAnsi="Times New Roman" w:cs="Times New Roman"/>
          <w:sz w:val="27"/>
          <w:szCs w:val="27"/>
        </w:rPr>
        <w:t xml:space="preserve"> auditori, iar din</w:t>
      </w:r>
      <w:r w:rsidRPr="009D0E14">
        <w:rPr>
          <w:rFonts w:ascii="Times New Roman" w:hAnsi="Times New Roman" w:cs="Times New Roman"/>
          <w:sz w:val="27"/>
          <w:szCs w:val="27"/>
        </w:rPr>
        <w:t xml:space="preserve"> cadrul Asociaţiei Contabililor şi Auditorilor Profesionişti </w:t>
      </w:r>
      <w:r w:rsidR="00C70EFC" w:rsidRPr="009D0E14">
        <w:rPr>
          <w:rFonts w:ascii="Times New Roman" w:hAnsi="Times New Roman" w:cs="Times New Roman"/>
          <w:sz w:val="27"/>
          <w:szCs w:val="27"/>
        </w:rPr>
        <w:t xml:space="preserve">din Republica Moldova (ACAP) – </w:t>
      </w:r>
      <w:r w:rsidR="002935F0" w:rsidRPr="002935F0">
        <w:rPr>
          <w:rFonts w:ascii="Times New Roman" w:hAnsi="Times New Roman" w:cs="Times New Roman"/>
          <w:sz w:val="27"/>
          <w:szCs w:val="27"/>
        </w:rPr>
        <w:t>32</w:t>
      </w:r>
      <w:r w:rsidR="00C70EFC" w:rsidRPr="009D0E14">
        <w:rPr>
          <w:rFonts w:ascii="Times New Roman" w:hAnsi="Times New Roman" w:cs="Times New Roman"/>
          <w:sz w:val="27"/>
          <w:szCs w:val="27"/>
        </w:rPr>
        <w:t xml:space="preserve"> auditori</w:t>
      </w:r>
      <w:r w:rsidR="00814F1C" w:rsidRPr="009D0E14">
        <w:rPr>
          <w:rFonts w:ascii="Times New Roman" w:hAnsi="Times New Roman" w:cs="Times New Roman"/>
          <w:sz w:val="27"/>
          <w:szCs w:val="27"/>
        </w:rPr>
        <w:t>.</w:t>
      </w:r>
    </w:p>
    <w:p w:rsidR="00BB076B" w:rsidRPr="009D0E14" w:rsidRDefault="00BB076B" w:rsidP="009D0E14">
      <w:pPr>
        <w:tabs>
          <w:tab w:val="left" w:pos="284"/>
          <w:tab w:val="left" w:pos="567"/>
          <w:tab w:val="right" w:pos="709"/>
          <w:tab w:val="righ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        Instruirile au fost </w:t>
      </w:r>
      <w:r w:rsidR="00D92E0E" w:rsidRPr="009D0E14">
        <w:rPr>
          <w:rFonts w:ascii="Times New Roman" w:hAnsi="Times New Roman" w:cs="Times New Roman"/>
          <w:sz w:val="27"/>
          <w:szCs w:val="27"/>
        </w:rPr>
        <w:t xml:space="preserve">organizate de către ACAP și </w:t>
      </w:r>
      <w:r w:rsidR="00361503" w:rsidRPr="009D0E14">
        <w:rPr>
          <w:rFonts w:ascii="Times New Roman" w:hAnsi="Times New Roman" w:cs="Times New Roman"/>
          <w:sz w:val="27"/>
          <w:szCs w:val="27"/>
        </w:rPr>
        <w:t xml:space="preserve">corespunzător </w:t>
      </w:r>
      <w:r w:rsidR="00D92E0E" w:rsidRPr="009D0E14">
        <w:rPr>
          <w:rFonts w:ascii="Times New Roman" w:hAnsi="Times New Roman" w:cs="Times New Roman"/>
          <w:sz w:val="27"/>
          <w:szCs w:val="27"/>
        </w:rPr>
        <w:t>CIPAM</w:t>
      </w:r>
      <w:r w:rsidRPr="009D0E14">
        <w:rPr>
          <w:rFonts w:ascii="Times New Roman" w:hAnsi="Times New Roman" w:cs="Times New Roman"/>
          <w:sz w:val="27"/>
          <w:szCs w:val="27"/>
        </w:rPr>
        <w:t xml:space="preserve"> cu participarea reprezentanților Serviciului Prevenir</w:t>
      </w:r>
      <w:r w:rsidR="005213D9" w:rsidRPr="009D0E14">
        <w:rPr>
          <w:rFonts w:ascii="Times New Roman" w:hAnsi="Times New Roman" w:cs="Times New Roman"/>
          <w:sz w:val="27"/>
          <w:szCs w:val="27"/>
        </w:rPr>
        <w:t>ea și Combaterea Spălării Bani</w:t>
      </w:r>
      <w:r w:rsidRPr="009D0E14">
        <w:rPr>
          <w:rFonts w:ascii="Times New Roman" w:hAnsi="Times New Roman" w:cs="Times New Roman"/>
          <w:sz w:val="27"/>
          <w:szCs w:val="27"/>
        </w:rPr>
        <w:t>lor, în calitate de formatori.</w:t>
      </w:r>
    </w:p>
    <w:p w:rsidR="00D91AD0" w:rsidRDefault="00231826" w:rsidP="00231826">
      <w:pPr>
        <w:tabs>
          <w:tab w:val="left" w:pos="284"/>
          <w:tab w:val="left" w:pos="567"/>
          <w:tab w:val="right" w:pos="709"/>
          <w:tab w:val="righ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D91AD0" w:rsidRPr="009D0E14">
        <w:rPr>
          <w:rFonts w:ascii="Times New Roman" w:hAnsi="Times New Roman" w:cs="Times New Roman"/>
          <w:sz w:val="27"/>
          <w:szCs w:val="27"/>
        </w:rPr>
        <w:t>Totodată, conform art.13 alin.(4) al Legii nr.308/2017</w:t>
      </w:r>
      <w:r w:rsidR="00457BF3" w:rsidRPr="00457BF3">
        <w:rPr>
          <w:rFonts w:ascii="Times New Roman" w:hAnsi="Times New Roman" w:cs="Times New Roman"/>
          <w:sz w:val="27"/>
          <w:szCs w:val="27"/>
        </w:rPr>
        <w:t xml:space="preserve"> </w:t>
      </w:r>
      <w:r w:rsidR="00457BF3" w:rsidRPr="009D0E14">
        <w:rPr>
          <w:rFonts w:ascii="Times New Roman" w:hAnsi="Times New Roman" w:cs="Times New Roman"/>
          <w:sz w:val="27"/>
          <w:szCs w:val="27"/>
        </w:rPr>
        <w:t>cu privire la prevenirea și combaterea spălării banilor și finanțării terorismului</w:t>
      </w:r>
      <w:r w:rsidR="00D91AD0" w:rsidRPr="009D0E14">
        <w:rPr>
          <w:rFonts w:ascii="Times New Roman" w:hAnsi="Times New Roman" w:cs="Times New Roman"/>
          <w:sz w:val="27"/>
          <w:szCs w:val="27"/>
        </w:rPr>
        <w:t>, 79 entități de audit au raportat desemnarea persoanelor</w:t>
      </w:r>
      <w:r w:rsidR="00D91AD0" w:rsidRPr="009D0E14">
        <w:rPr>
          <w:sz w:val="27"/>
          <w:szCs w:val="27"/>
        </w:rPr>
        <w:t xml:space="preserve"> </w:t>
      </w:r>
      <w:r w:rsidR="00D91AD0" w:rsidRPr="009D0E14">
        <w:rPr>
          <w:rFonts w:ascii="Times New Roman" w:hAnsi="Times New Roman" w:cs="Times New Roman"/>
          <w:sz w:val="27"/>
          <w:szCs w:val="27"/>
        </w:rPr>
        <w:t>învestite cu atrib</w:t>
      </w:r>
      <w:r w:rsidR="00C9477A">
        <w:rPr>
          <w:rFonts w:ascii="Times New Roman" w:hAnsi="Times New Roman" w:cs="Times New Roman"/>
          <w:sz w:val="27"/>
          <w:szCs w:val="27"/>
        </w:rPr>
        <w:t>uţii de executare</w:t>
      </w:r>
      <w:r w:rsidR="00D91AD0" w:rsidRPr="009D0E14">
        <w:rPr>
          <w:rFonts w:ascii="Times New Roman" w:hAnsi="Times New Roman" w:cs="Times New Roman"/>
          <w:sz w:val="27"/>
          <w:szCs w:val="27"/>
        </w:rPr>
        <w:t>, inclusiv cele cu funcţii de conducere de rang superior, Consiliului de supraveghere publică a auditului și Serviciului Prevenirea şi Combaterea Spălării Banilor, împreună cu natura şi limitele responsabilităţilor.</w:t>
      </w:r>
    </w:p>
    <w:p w:rsidR="00DF2097" w:rsidRPr="009D0E14" w:rsidRDefault="00DF2097" w:rsidP="00231826">
      <w:pPr>
        <w:tabs>
          <w:tab w:val="left" w:pos="284"/>
          <w:tab w:val="left" w:pos="567"/>
          <w:tab w:val="right" w:pos="709"/>
          <w:tab w:val="righ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15D4C" w:rsidRPr="009D0E14" w:rsidRDefault="00415D4C" w:rsidP="008211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1B6" w:rsidRPr="00436AD6" w:rsidRDefault="008211B6" w:rsidP="008211B6">
      <w:pPr>
        <w:spacing w:before="600"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8211B6" w:rsidRPr="00436AD6" w:rsidSect="00B750E0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0F" w:rsidRDefault="0089440F" w:rsidP="008211B6">
      <w:pPr>
        <w:spacing w:after="0" w:line="240" w:lineRule="auto"/>
      </w:pPr>
      <w:r>
        <w:separator/>
      </w:r>
    </w:p>
  </w:endnote>
  <w:endnote w:type="continuationSeparator" w:id="0">
    <w:p w:rsidR="0089440F" w:rsidRDefault="0089440F" w:rsidP="0082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200002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0F" w:rsidRDefault="0089440F" w:rsidP="008211B6">
      <w:pPr>
        <w:spacing w:after="0" w:line="240" w:lineRule="auto"/>
      </w:pPr>
      <w:r>
        <w:separator/>
      </w:r>
    </w:p>
  </w:footnote>
  <w:footnote w:type="continuationSeparator" w:id="0">
    <w:p w:rsidR="0089440F" w:rsidRDefault="0089440F" w:rsidP="00821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97D"/>
    <w:multiLevelType w:val="hybridMultilevel"/>
    <w:tmpl w:val="A65A7B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D81"/>
    <w:multiLevelType w:val="hybridMultilevel"/>
    <w:tmpl w:val="D6806BC2"/>
    <w:lvl w:ilvl="0" w:tplc="35AC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BC0431"/>
    <w:multiLevelType w:val="hybridMultilevel"/>
    <w:tmpl w:val="7A58DE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5747"/>
    <w:multiLevelType w:val="hybridMultilevel"/>
    <w:tmpl w:val="67C2DD28"/>
    <w:lvl w:ilvl="0" w:tplc="C3E48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4C1"/>
    <w:multiLevelType w:val="multilevel"/>
    <w:tmpl w:val="93E8D1F6"/>
    <w:lvl w:ilvl="0">
      <w:start w:val="16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714" w:hanging="1230"/>
      </w:pPr>
      <w:rPr>
        <w:rFonts w:hint="default"/>
      </w:rPr>
    </w:lvl>
    <w:lvl w:ilvl="2">
      <w:start w:val="2007"/>
      <w:numFmt w:val="decimal"/>
      <w:lvlText w:val="%1.%2.%3"/>
      <w:lvlJc w:val="left"/>
      <w:pPr>
        <w:ind w:left="419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2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72" w:hanging="1800"/>
      </w:pPr>
      <w:rPr>
        <w:rFonts w:hint="default"/>
      </w:rPr>
    </w:lvl>
  </w:abstractNum>
  <w:abstractNum w:abstractNumId="5" w15:restartNumberingAfterBreak="0">
    <w:nsid w:val="0F14198A"/>
    <w:multiLevelType w:val="hybridMultilevel"/>
    <w:tmpl w:val="00FE8DB2"/>
    <w:lvl w:ilvl="0" w:tplc="C3E48DEA">
      <w:start w:val="1"/>
      <w:numFmt w:val="decimal"/>
      <w:lvlText w:val="%1."/>
      <w:lvlJc w:val="left"/>
      <w:pPr>
        <w:ind w:left="1584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304" w:hanging="360"/>
      </w:pPr>
    </w:lvl>
    <w:lvl w:ilvl="2" w:tplc="0418001B" w:tentative="1">
      <w:start w:val="1"/>
      <w:numFmt w:val="lowerRoman"/>
      <w:lvlText w:val="%3."/>
      <w:lvlJc w:val="right"/>
      <w:pPr>
        <w:ind w:left="3024" w:hanging="180"/>
      </w:pPr>
    </w:lvl>
    <w:lvl w:ilvl="3" w:tplc="0418000F" w:tentative="1">
      <w:start w:val="1"/>
      <w:numFmt w:val="decimal"/>
      <w:lvlText w:val="%4."/>
      <w:lvlJc w:val="left"/>
      <w:pPr>
        <w:ind w:left="3744" w:hanging="360"/>
      </w:pPr>
    </w:lvl>
    <w:lvl w:ilvl="4" w:tplc="04180019" w:tentative="1">
      <w:start w:val="1"/>
      <w:numFmt w:val="lowerLetter"/>
      <w:lvlText w:val="%5."/>
      <w:lvlJc w:val="left"/>
      <w:pPr>
        <w:ind w:left="4464" w:hanging="360"/>
      </w:pPr>
    </w:lvl>
    <w:lvl w:ilvl="5" w:tplc="0418001B" w:tentative="1">
      <w:start w:val="1"/>
      <w:numFmt w:val="lowerRoman"/>
      <w:lvlText w:val="%6."/>
      <w:lvlJc w:val="right"/>
      <w:pPr>
        <w:ind w:left="5184" w:hanging="180"/>
      </w:pPr>
    </w:lvl>
    <w:lvl w:ilvl="6" w:tplc="0418000F" w:tentative="1">
      <w:start w:val="1"/>
      <w:numFmt w:val="decimal"/>
      <w:lvlText w:val="%7."/>
      <w:lvlJc w:val="left"/>
      <w:pPr>
        <w:ind w:left="5904" w:hanging="360"/>
      </w:pPr>
    </w:lvl>
    <w:lvl w:ilvl="7" w:tplc="04180019" w:tentative="1">
      <w:start w:val="1"/>
      <w:numFmt w:val="lowerLetter"/>
      <w:lvlText w:val="%8."/>
      <w:lvlJc w:val="left"/>
      <w:pPr>
        <w:ind w:left="6624" w:hanging="360"/>
      </w:pPr>
    </w:lvl>
    <w:lvl w:ilvl="8" w:tplc="0418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0F377459"/>
    <w:multiLevelType w:val="hybridMultilevel"/>
    <w:tmpl w:val="77BAB13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52EDD"/>
    <w:multiLevelType w:val="hybridMultilevel"/>
    <w:tmpl w:val="5A4A44C2"/>
    <w:lvl w:ilvl="0" w:tplc="410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528D"/>
    <w:multiLevelType w:val="hybridMultilevel"/>
    <w:tmpl w:val="64A22B54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E652D"/>
    <w:multiLevelType w:val="hybridMultilevel"/>
    <w:tmpl w:val="044E7B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C2DFB"/>
    <w:multiLevelType w:val="hybridMultilevel"/>
    <w:tmpl w:val="745C4C5C"/>
    <w:lvl w:ilvl="0" w:tplc="0418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1" w15:restartNumberingAfterBreak="0">
    <w:nsid w:val="67FD180D"/>
    <w:multiLevelType w:val="hybridMultilevel"/>
    <w:tmpl w:val="EAF2DDB0"/>
    <w:lvl w:ilvl="0" w:tplc="0418000D">
      <w:start w:val="1"/>
      <w:numFmt w:val="bullet"/>
      <w:lvlText w:val=""/>
      <w:lvlJc w:val="left"/>
      <w:pPr>
        <w:ind w:left="17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2" w15:restartNumberingAfterBreak="0">
    <w:nsid w:val="6D866EC8"/>
    <w:multiLevelType w:val="hybridMultilevel"/>
    <w:tmpl w:val="18E67D10"/>
    <w:lvl w:ilvl="0" w:tplc="0418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75312C6D"/>
    <w:multiLevelType w:val="hybridMultilevel"/>
    <w:tmpl w:val="453EC9C8"/>
    <w:lvl w:ilvl="0" w:tplc="8B3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  <w:szCs w:val="2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6974"/>
    <w:multiLevelType w:val="hybridMultilevel"/>
    <w:tmpl w:val="BF221E06"/>
    <w:lvl w:ilvl="0" w:tplc="CF522D8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4" w:hanging="360"/>
      </w:pPr>
    </w:lvl>
    <w:lvl w:ilvl="2" w:tplc="0418001B" w:tentative="1">
      <w:start w:val="1"/>
      <w:numFmt w:val="lowerRoman"/>
      <w:lvlText w:val="%3."/>
      <w:lvlJc w:val="right"/>
      <w:pPr>
        <w:ind w:left="2584" w:hanging="180"/>
      </w:pPr>
    </w:lvl>
    <w:lvl w:ilvl="3" w:tplc="0418000F" w:tentative="1">
      <w:start w:val="1"/>
      <w:numFmt w:val="decimal"/>
      <w:lvlText w:val="%4."/>
      <w:lvlJc w:val="left"/>
      <w:pPr>
        <w:ind w:left="3304" w:hanging="360"/>
      </w:pPr>
    </w:lvl>
    <w:lvl w:ilvl="4" w:tplc="04180019" w:tentative="1">
      <w:start w:val="1"/>
      <w:numFmt w:val="lowerLetter"/>
      <w:lvlText w:val="%5."/>
      <w:lvlJc w:val="left"/>
      <w:pPr>
        <w:ind w:left="4024" w:hanging="360"/>
      </w:pPr>
    </w:lvl>
    <w:lvl w:ilvl="5" w:tplc="0418001B" w:tentative="1">
      <w:start w:val="1"/>
      <w:numFmt w:val="lowerRoman"/>
      <w:lvlText w:val="%6."/>
      <w:lvlJc w:val="right"/>
      <w:pPr>
        <w:ind w:left="4744" w:hanging="180"/>
      </w:pPr>
    </w:lvl>
    <w:lvl w:ilvl="6" w:tplc="0418000F" w:tentative="1">
      <w:start w:val="1"/>
      <w:numFmt w:val="decimal"/>
      <w:lvlText w:val="%7."/>
      <w:lvlJc w:val="left"/>
      <w:pPr>
        <w:ind w:left="5464" w:hanging="360"/>
      </w:pPr>
    </w:lvl>
    <w:lvl w:ilvl="7" w:tplc="04180019" w:tentative="1">
      <w:start w:val="1"/>
      <w:numFmt w:val="lowerLetter"/>
      <w:lvlText w:val="%8."/>
      <w:lvlJc w:val="left"/>
      <w:pPr>
        <w:ind w:left="6184" w:hanging="360"/>
      </w:pPr>
    </w:lvl>
    <w:lvl w:ilvl="8" w:tplc="041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78F50F0D"/>
    <w:multiLevelType w:val="hybridMultilevel"/>
    <w:tmpl w:val="460800DE"/>
    <w:lvl w:ilvl="0" w:tplc="C3E48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54"/>
    <w:rsid w:val="000A2B7C"/>
    <w:rsid w:val="000B5A40"/>
    <w:rsid w:val="000C13D2"/>
    <w:rsid w:val="00140C6E"/>
    <w:rsid w:val="001503CB"/>
    <w:rsid w:val="00165028"/>
    <w:rsid w:val="001C6953"/>
    <w:rsid w:val="001E19B2"/>
    <w:rsid w:val="00205960"/>
    <w:rsid w:val="00216160"/>
    <w:rsid w:val="00223B26"/>
    <w:rsid w:val="00225C56"/>
    <w:rsid w:val="00231826"/>
    <w:rsid w:val="00232B22"/>
    <w:rsid w:val="0024202E"/>
    <w:rsid w:val="00242B54"/>
    <w:rsid w:val="0024472B"/>
    <w:rsid w:val="00285D47"/>
    <w:rsid w:val="002935F0"/>
    <w:rsid w:val="002B5D04"/>
    <w:rsid w:val="002F37F5"/>
    <w:rsid w:val="00332C98"/>
    <w:rsid w:val="00340360"/>
    <w:rsid w:val="00361503"/>
    <w:rsid w:val="0036447C"/>
    <w:rsid w:val="00395A43"/>
    <w:rsid w:val="003A2880"/>
    <w:rsid w:val="003D0D9F"/>
    <w:rsid w:val="003D55FD"/>
    <w:rsid w:val="003E41AE"/>
    <w:rsid w:val="00405D86"/>
    <w:rsid w:val="00415D4C"/>
    <w:rsid w:val="00436AD6"/>
    <w:rsid w:val="00457BF3"/>
    <w:rsid w:val="004708E2"/>
    <w:rsid w:val="00471BBF"/>
    <w:rsid w:val="0047516F"/>
    <w:rsid w:val="00504A1F"/>
    <w:rsid w:val="005213D9"/>
    <w:rsid w:val="0056291C"/>
    <w:rsid w:val="00562E77"/>
    <w:rsid w:val="00564E3F"/>
    <w:rsid w:val="005F0C2B"/>
    <w:rsid w:val="00621C50"/>
    <w:rsid w:val="00622B54"/>
    <w:rsid w:val="006545FF"/>
    <w:rsid w:val="00666108"/>
    <w:rsid w:val="006769FC"/>
    <w:rsid w:val="006812E8"/>
    <w:rsid w:val="00681E0E"/>
    <w:rsid w:val="00685498"/>
    <w:rsid w:val="006D6E8F"/>
    <w:rsid w:val="006F466A"/>
    <w:rsid w:val="00733EF1"/>
    <w:rsid w:val="007A004C"/>
    <w:rsid w:val="007B1CAD"/>
    <w:rsid w:val="007C6F7C"/>
    <w:rsid w:val="007F500D"/>
    <w:rsid w:val="008032D2"/>
    <w:rsid w:val="00814F1C"/>
    <w:rsid w:val="008211B6"/>
    <w:rsid w:val="00834666"/>
    <w:rsid w:val="008371A0"/>
    <w:rsid w:val="008554BE"/>
    <w:rsid w:val="0089440F"/>
    <w:rsid w:val="00896FB9"/>
    <w:rsid w:val="008C53F4"/>
    <w:rsid w:val="008C7564"/>
    <w:rsid w:val="008C7E6A"/>
    <w:rsid w:val="008D6005"/>
    <w:rsid w:val="008E7431"/>
    <w:rsid w:val="008F2FFF"/>
    <w:rsid w:val="0090699F"/>
    <w:rsid w:val="00945634"/>
    <w:rsid w:val="0096032B"/>
    <w:rsid w:val="00992423"/>
    <w:rsid w:val="009D0E14"/>
    <w:rsid w:val="00A207FC"/>
    <w:rsid w:val="00A3059C"/>
    <w:rsid w:val="00A3608E"/>
    <w:rsid w:val="00A37653"/>
    <w:rsid w:val="00A47DAC"/>
    <w:rsid w:val="00AA2A3C"/>
    <w:rsid w:val="00AB2802"/>
    <w:rsid w:val="00B029F8"/>
    <w:rsid w:val="00B2156C"/>
    <w:rsid w:val="00B269A1"/>
    <w:rsid w:val="00B55B84"/>
    <w:rsid w:val="00B64B8C"/>
    <w:rsid w:val="00B750E0"/>
    <w:rsid w:val="00BB076B"/>
    <w:rsid w:val="00BE1757"/>
    <w:rsid w:val="00C20C00"/>
    <w:rsid w:val="00C36005"/>
    <w:rsid w:val="00C40924"/>
    <w:rsid w:val="00C42E44"/>
    <w:rsid w:val="00C435ED"/>
    <w:rsid w:val="00C61E1E"/>
    <w:rsid w:val="00C70EFC"/>
    <w:rsid w:val="00C830FE"/>
    <w:rsid w:val="00C92DC1"/>
    <w:rsid w:val="00C9477A"/>
    <w:rsid w:val="00CB7EE0"/>
    <w:rsid w:val="00CD5307"/>
    <w:rsid w:val="00D34881"/>
    <w:rsid w:val="00D530C3"/>
    <w:rsid w:val="00D5633D"/>
    <w:rsid w:val="00D60A90"/>
    <w:rsid w:val="00D9049F"/>
    <w:rsid w:val="00D91AD0"/>
    <w:rsid w:val="00D9234F"/>
    <w:rsid w:val="00D92E0E"/>
    <w:rsid w:val="00D936E5"/>
    <w:rsid w:val="00DE32F7"/>
    <w:rsid w:val="00DF2097"/>
    <w:rsid w:val="00E240BF"/>
    <w:rsid w:val="00E53C39"/>
    <w:rsid w:val="00EF5D31"/>
    <w:rsid w:val="00F00FEB"/>
    <w:rsid w:val="00F30D9D"/>
    <w:rsid w:val="00F522AD"/>
    <w:rsid w:val="00F577A2"/>
    <w:rsid w:val="00F86910"/>
    <w:rsid w:val="00FD2336"/>
    <w:rsid w:val="00FD24B0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A02B3-8FDB-4D5C-B890-FAE070D7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1B6"/>
  </w:style>
  <w:style w:type="paragraph" w:styleId="Footer">
    <w:name w:val="footer"/>
    <w:basedOn w:val="Normal"/>
    <w:link w:val="FooterChar"/>
    <w:uiPriority w:val="99"/>
    <w:unhideWhenUsed/>
    <w:rsid w:val="0082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1B6"/>
  </w:style>
  <w:style w:type="character" w:styleId="Hyperlink">
    <w:name w:val="Hyperlink"/>
    <w:basedOn w:val="DefaultParagraphFont"/>
    <w:uiPriority w:val="99"/>
    <w:unhideWhenUsed/>
    <w:rsid w:val="00293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A0F1-1694-444A-8D5C-153025A9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Ada</dc:creator>
  <cp:keywords/>
  <dc:description/>
  <cp:lastModifiedBy>Ceban Ada</cp:lastModifiedBy>
  <cp:revision>2</cp:revision>
  <cp:lastPrinted>2019-08-16T08:12:00Z</cp:lastPrinted>
  <dcterms:created xsi:type="dcterms:W3CDTF">2019-08-17T09:45:00Z</dcterms:created>
  <dcterms:modified xsi:type="dcterms:W3CDTF">2019-08-17T09:45:00Z</dcterms:modified>
</cp:coreProperties>
</file>