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AD" w:rsidRPr="004172F3" w:rsidRDefault="00BE1EAD" w:rsidP="00BE1EAD">
      <w:pPr>
        <w:widowControl w:val="0"/>
        <w:shd w:val="clear" w:color="auto" w:fill="DEEAF6" w:themeFill="accent1" w:themeFillTint="33"/>
        <w:overflowPunct w:val="0"/>
        <w:autoSpaceDE w:val="0"/>
        <w:autoSpaceDN w:val="0"/>
        <w:adjustRightInd w:val="0"/>
        <w:spacing w:after="0"/>
        <w:ind w:right="567"/>
        <w:jc w:val="both"/>
        <w:outlineLvl w:val="1"/>
        <w:rPr>
          <w:rFonts w:ascii="Times New Roman" w:hAnsi="Times New Roman"/>
          <w:b/>
          <w:i/>
          <w:sz w:val="26"/>
          <w:szCs w:val="26"/>
          <w:lang w:val="it-IT"/>
        </w:rPr>
      </w:pPr>
      <w:r w:rsidRPr="004172F3">
        <w:rPr>
          <w:rFonts w:ascii="Times New Roman" w:hAnsi="Times New Roman"/>
          <w:b/>
          <w:i/>
          <w:sz w:val="26"/>
          <w:szCs w:val="26"/>
          <w:lang w:val="it-IT"/>
        </w:rPr>
        <w:t>Referitor la amplasarea teritorială a societăţilor de audit, auditorilor întreprinzători individuali, relatăm următoarele:</w:t>
      </w:r>
    </w:p>
    <w:p w:rsidR="00BE1EAD" w:rsidRDefault="00BE1EAD" w:rsidP="00BE1EAD">
      <w:pPr>
        <w:pStyle w:val="ListParagraph"/>
        <w:widowControl w:val="0"/>
        <w:numPr>
          <w:ilvl w:val="0"/>
          <w:numId w:val="1"/>
        </w:numPr>
        <w:shd w:val="clear" w:color="auto" w:fill="DEEAF6" w:themeFill="accent1" w:themeFillTint="33"/>
        <w:overflowPunct w:val="0"/>
        <w:autoSpaceDE w:val="0"/>
        <w:autoSpaceDN w:val="0"/>
        <w:adjustRightInd w:val="0"/>
        <w:spacing w:before="240" w:line="360" w:lineRule="auto"/>
        <w:ind w:right="12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în mun.Chişinău – 99 societăţi de audit și 2</w:t>
      </w:r>
      <w:r w:rsidRPr="004172F3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auditori întreprinzători  individuali;</w:t>
      </w:r>
    </w:p>
    <w:p w:rsidR="00BE1EAD" w:rsidRDefault="00BE1EAD" w:rsidP="00BE1EAD">
      <w:pPr>
        <w:pStyle w:val="ListParagraph"/>
        <w:widowControl w:val="0"/>
        <w:numPr>
          <w:ilvl w:val="0"/>
          <w:numId w:val="1"/>
        </w:numPr>
        <w:shd w:val="clear" w:color="auto" w:fill="DEEAF6" w:themeFill="accent1" w:themeFillTint="33"/>
        <w:overflowPunct w:val="0"/>
        <w:autoSpaceDE w:val="0"/>
        <w:autoSpaceDN w:val="0"/>
        <w:adjustRightInd w:val="0"/>
        <w:spacing w:before="240" w:line="360" w:lineRule="auto"/>
        <w:ind w:right="12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în Bălţi – 6</w:t>
      </w:r>
      <w:r w:rsidRPr="004172F3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societăţi de audit;</w:t>
      </w:r>
    </w:p>
    <w:p w:rsidR="00BE1EAD" w:rsidRDefault="00BE1EAD" w:rsidP="00BE1EAD">
      <w:pPr>
        <w:pStyle w:val="ListParagraph"/>
        <w:widowControl w:val="0"/>
        <w:numPr>
          <w:ilvl w:val="0"/>
          <w:numId w:val="1"/>
        </w:numPr>
        <w:shd w:val="clear" w:color="auto" w:fill="DEEAF6" w:themeFill="accent1" w:themeFillTint="33"/>
        <w:overflowPunct w:val="0"/>
        <w:autoSpaceDE w:val="0"/>
        <w:autoSpaceDN w:val="0"/>
        <w:adjustRightInd w:val="0"/>
        <w:spacing w:before="240" w:line="360" w:lineRule="auto"/>
        <w:ind w:right="12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în Cahul – 2</w:t>
      </w:r>
      <w:r w:rsidRPr="004172F3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societăţi de audit;</w:t>
      </w:r>
    </w:p>
    <w:p w:rsidR="00BE1EAD" w:rsidRDefault="00BE1EAD" w:rsidP="00BE1EAD">
      <w:pPr>
        <w:pStyle w:val="ListParagraph"/>
        <w:widowControl w:val="0"/>
        <w:numPr>
          <w:ilvl w:val="0"/>
          <w:numId w:val="1"/>
        </w:numPr>
        <w:shd w:val="clear" w:color="auto" w:fill="DEEAF6" w:themeFill="accent1" w:themeFillTint="33"/>
        <w:overflowPunct w:val="0"/>
        <w:autoSpaceDE w:val="0"/>
        <w:autoSpaceDN w:val="0"/>
        <w:adjustRightInd w:val="0"/>
        <w:spacing w:before="240" w:line="360" w:lineRule="auto"/>
        <w:ind w:right="12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în Briceni –1</w:t>
      </w:r>
      <w:r w:rsidRPr="004172F3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auditor  întreprinzător individual;</w:t>
      </w:r>
    </w:p>
    <w:p w:rsidR="00BE1EAD" w:rsidRDefault="00BE1EAD" w:rsidP="00BE1EAD">
      <w:pPr>
        <w:pStyle w:val="ListParagraph"/>
        <w:widowControl w:val="0"/>
        <w:numPr>
          <w:ilvl w:val="0"/>
          <w:numId w:val="1"/>
        </w:numPr>
        <w:shd w:val="clear" w:color="auto" w:fill="DEEAF6" w:themeFill="accent1" w:themeFillTint="33"/>
        <w:overflowPunct w:val="0"/>
        <w:autoSpaceDE w:val="0"/>
        <w:autoSpaceDN w:val="0"/>
        <w:adjustRightInd w:val="0"/>
        <w:spacing w:before="240" w:after="0" w:line="360" w:lineRule="auto"/>
        <w:ind w:right="120"/>
        <w:jc w:val="both"/>
        <w:rPr>
          <w:rFonts w:ascii="Times New Roman" w:hAnsi="Times New Roman"/>
          <w:sz w:val="26"/>
          <w:szCs w:val="26"/>
          <w:lang w:val="it-IT"/>
        </w:rPr>
      </w:pPr>
      <w:r w:rsidRPr="004172F3">
        <w:rPr>
          <w:rFonts w:ascii="Times New Roman" w:hAnsi="Times New Roman"/>
          <w:sz w:val="26"/>
          <w:szCs w:val="26"/>
          <w:lang w:val="ro-RO"/>
        </w:rPr>
        <w:t>în alte localităţi ca: Ungheni,</w:t>
      </w:r>
      <w:r>
        <w:rPr>
          <w:rFonts w:ascii="Times New Roman" w:hAnsi="Times New Roman"/>
          <w:sz w:val="26"/>
          <w:szCs w:val="26"/>
          <w:lang w:val="ro-RO"/>
        </w:rPr>
        <w:t xml:space="preserve"> Soroca, Ocniţa – câte o </w:t>
      </w:r>
      <w:r>
        <w:rPr>
          <w:rFonts w:ascii="Times New Roman" w:hAnsi="Times New Roman"/>
          <w:sz w:val="26"/>
          <w:szCs w:val="26"/>
          <w:lang w:val="it-IT"/>
        </w:rPr>
        <w:t>societate de audit.</w:t>
      </w:r>
    </w:p>
    <w:p w:rsidR="00BE1EAD" w:rsidRPr="005F3991" w:rsidRDefault="00BE1EAD" w:rsidP="00BE1EAD">
      <w:pPr>
        <w:widowControl w:val="0"/>
        <w:shd w:val="clear" w:color="auto" w:fill="DEEAF6" w:themeFill="accent1" w:themeFillTint="33"/>
        <w:overflowPunct w:val="0"/>
        <w:autoSpaceDE w:val="0"/>
        <w:autoSpaceDN w:val="0"/>
        <w:adjustRightInd w:val="0"/>
        <w:spacing w:before="240"/>
        <w:ind w:right="120"/>
        <w:jc w:val="center"/>
        <w:rPr>
          <w:rFonts w:ascii="Times New Roman" w:hAnsi="Times New Roman"/>
          <w:b/>
          <w:i/>
          <w:sz w:val="26"/>
          <w:szCs w:val="26"/>
          <w:lang w:val="it-IT"/>
        </w:rPr>
      </w:pPr>
      <w:r>
        <w:rPr>
          <w:rFonts w:ascii="Times New Roman" w:hAnsi="Times New Roman"/>
          <w:b/>
          <w:i/>
          <w:sz w:val="26"/>
          <w:szCs w:val="26"/>
          <w:lang w:val="it-IT"/>
        </w:rPr>
        <w:t xml:space="preserve">Reprezentarea grafică a amplasării teritoriale </w:t>
      </w:r>
      <w:r w:rsidRPr="004172F3">
        <w:rPr>
          <w:rFonts w:ascii="Times New Roman" w:hAnsi="Times New Roman"/>
          <w:b/>
          <w:i/>
          <w:sz w:val="26"/>
          <w:szCs w:val="26"/>
          <w:lang w:val="it-IT"/>
        </w:rPr>
        <w:t>a societăţilor de audit, auditorilor întreprinzători individuali</w:t>
      </w:r>
      <w:r>
        <w:rPr>
          <w:rFonts w:ascii="Times New Roman" w:hAnsi="Times New Roman"/>
          <w:b/>
          <w:i/>
          <w:sz w:val="26"/>
          <w:szCs w:val="26"/>
          <w:lang w:val="it-IT"/>
        </w:rPr>
        <w:t xml:space="preserve"> este prezentată în Diagrama nr.1 </w:t>
      </w:r>
    </w:p>
    <w:p w:rsidR="00BE1EAD" w:rsidRPr="00B91D1C" w:rsidRDefault="00BE1EAD" w:rsidP="00BE1EAD">
      <w:pPr>
        <w:spacing w:after="0" w:line="240" w:lineRule="auto"/>
        <w:ind w:left="360"/>
        <w:jc w:val="right"/>
        <w:rPr>
          <w:rFonts w:ascii="Times New Roman" w:hAnsi="Times New Roman"/>
          <w:b/>
          <w:i/>
          <w:color w:val="333333"/>
          <w:sz w:val="20"/>
          <w:szCs w:val="20"/>
          <w:lang w:val="ro-RO"/>
        </w:rPr>
      </w:pPr>
      <w:r>
        <w:rPr>
          <w:rFonts w:ascii="Times New Roman" w:hAnsi="Times New Roman"/>
          <w:b/>
          <w:i/>
          <w:color w:val="333333"/>
          <w:sz w:val="20"/>
          <w:szCs w:val="20"/>
          <w:lang w:val="ro-RO"/>
        </w:rPr>
        <w:t>Diagrama nr.1</w:t>
      </w:r>
    </w:p>
    <w:p w:rsidR="00BE1EAD" w:rsidRDefault="00BE1EAD" w:rsidP="00BE1EAD">
      <w:pPr>
        <w:widowControl w:val="0"/>
        <w:overflowPunct w:val="0"/>
        <w:autoSpaceDE w:val="0"/>
        <w:autoSpaceDN w:val="0"/>
        <w:adjustRightInd w:val="0"/>
        <w:spacing w:before="240"/>
        <w:ind w:right="12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noProof/>
          <w:sz w:val="26"/>
          <w:szCs w:val="26"/>
          <w:lang w:val="en-GB" w:eastAsia="en-GB"/>
        </w:rPr>
        <w:drawing>
          <wp:inline distT="0" distB="0" distL="0" distR="0" wp14:anchorId="591AFAFA" wp14:editId="7B1B4054">
            <wp:extent cx="6096000" cy="292417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E1EAD" w:rsidRPr="00FB0882" w:rsidRDefault="00BE1EAD" w:rsidP="00BE1EAD">
      <w:pPr>
        <w:widowControl w:val="0"/>
        <w:overflowPunct w:val="0"/>
        <w:autoSpaceDE w:val="0"/>
        <w:autoSpaceDN w:val="0"/>
        <w:adjustRightInd w:val="0"/>
        <w:spacing w:before="240"/>
        <w:ind w:right="120"/>
        <w:jc w:val="center"/>
        <w:rPr>
          <w:rFonts w:ascii="Times New Roman" w:hAnsi="Times New Roman"/>
          <w:b/>
          <w:i/>
          <w:sz w:val="20"/>
          <w:szCs w:val="20"/>
          <w:lang w:val="it-IT"/>
        </w:rPr>
      </w:pPr>
      <w:r w:rsidRPr="00FB0882">
        <w:rPr>
          <w:rFonts w:ascii="Times New Roman" w:hAnsi="Times New Roman"/>
          <w:b/>
          <w:i/>
          <w:sz w:val="20"/>
          <w:szCs w:val="20"/>
          <w:lang w:val="it-IT"/>
        </w:rPr>
        <w:t xml:space="preserve">Sursa: </w:t>
      </w:r>
      <w:proofErr w:type="spellStart"/>
      <w:r w:rsidRPr="00FB0882">
        <w:rPr>
          <w:rFonts w:ascii="Times New Roman" w:hAnsi="Times New Roman"/>
          <w:b/>
          <w:i/>
          <w:sz w:val="20"/>
          <w:szCs w:val="20"/>
          <w:lang w:val="fr-CA"/>
        </w:rPr>
        <w:t>Registrul</w:t>
      </w:r>
      <w:proofErr w:type="spellEnd"/>
      <w:r w:rsidRPr="00FB0882">
        <w:rPr>
          <w:rFonts w:ascii="Times New Roman" w:hAnsi="Times New Roman"/>
          <w:b/>
          <w:i/>
          <w:sz w:val="20"/>
          <w:szCs w:val="20"/>
          <w:lang w:val="fr-CA"/>
        </w:rPr>
        <w:t xml:space="preserve"> de stat al </w:t>
      </w:r>
      <w:proofErr w:type="spellStart"/>
      <w:r w:rsidRPr="00FB0882">
        <w:rPr>
          <w:rFonts w:ascii="Times New Roman" w:hAnsi="Times New Roman"/>
          <w:b/>
          <w:i/>
          <w:sz w:val="20"/>
          <w:szCs w:val="20"/>
          <w:lang w:val="fr-CA"/>
        </w:rPr>
        <w:t>societăţilor</w:t>
      </w:r>
      <w:proofErr w:type="spellEnd"/>
      <w:r w:rsidRPr="00FB0882">
        <w:rPr>
          <w:rFonts w:ascii="Times New Roman" w:hAnsi="Times New Roman"/>
          <w:b/>
          <w:i/>
          <w:sz w:val="20"/>
          <w:szCs w:val="20"/>
          <w:lang w:val="fr-CA"/>
        </w:rPr>
        <w:t xml:space="preserve">  de audit</w:t>
      </w:r>
      <w:r>
        <w:rPr>
          <w:rFonts w:ascii="Times New Roman" w:hAnsi="Times New Roman"/>
          <w:b/>
          <w:i/>
          <w:sz w:val="20"/>
          <w:szCs w:val="20"/>
          <w:lang w:val="fr-CA"/>
        </w:rPr>
        <w:t>, al</w:t>
      </w:r>
      <w:r w:rsidRPr="00FB0882">
        <w:rPr>
          <w:rFonts w:ascii="Times New Roman" w:hAnsi="Times New Roman"/>
          <w:b/>
          <w:i/>
          <w:sz w:val="20"/>
          <w:szCs w:val="20"/>
          <w:lang w:val="fr-CA"/>
        </w:rPr>
        <w:t xml:space="preserve"> </w:t>
      </w:r>
      <w:proofErr w:type="spellStart"/>
      <w:r w:rsidRPr="00FB0882">
        <w:rPr>
          <w:rFonts w:ascii="Times New Roman" w:hAnsi="Times New Roman"/>
          <w:b/>
          <w:i/>
          <w:sz w:val="20"/>
          <w:szCs w:val="20"/>
          <w:lang w:val="fr-CA"/>
        </w:rPr>
        <w:t>auditorilor</w:t>
      </w:r>
      <w:proofErr w:type="spellEnd"/>
      <w:r w:rsidRPr="00FB0882">
        <w:rPr>
          <w:rFonts w:ascii="Times New Roman" w:hAnsi="Times New Roman"/>
          <w:b/>
          <w:i/>
          <w:sz w:val="20"/>
          <w:szCs w:val="20"/>
          <w:lang w:val="fr-CA"/>
        </w:rPr>
        <w:t xml:space="preserve"> </w:t>
      </w:r>
      <w:proofErr w:type="spellStart"/>
      <w:r w:rsidRPr="00FB0882">
        <w:rPr>
          <w:rFonts w:ascii="Times New Roman" w:hAnsi="Times New Roman"/>
          <w:b/>
          <w:i/>
          <w:sz w:val="20"/>
          <w:szCs w:val="20"/>
          <w:lang w:val="fr-CA"/>
        </w:rPr>
        <w:t>întreprinzători</w:t>
      </w:r>
      <w:proofErr w:type="spellEnd"/>
      <w:r w:rsidRPr="00FB0882">
        <w:rPr>
          <w:rFonts w:ascii="Times New Roman" w:hAnsi="Times New Roman"/>
          <w:b/>
          <w:i/>
          <w:sz w:val="20"/>
          <w:szCs w:val="20"/>
          <w:lang w:val="fr-CA"/>
        </w:rPr>
        <w:t xml:space="preserve"> </w:t>
      </w:r>
      <w:proofErr w:type="spellStart"/>
      <w:r w:rsidRPr="00FB0882">
        <w:rPr>
          <w:rFonts w:ascii="Times New Roman" w:hAnsi="Times New Roman"/>
          <w:b/>
          <w:i/>
          <w:sz w:val="20"/>
          <w:szCs w:val="20"/>
          <w:lang w:val="fr-CA"/>
        </w:rPr>
        <w:t>individuali</w:t>
      </w:r>
      <w:proofErr w:type="spellEnd"/>
    </w:p>
    <w:p w:rsidR="00204676" w:rsidRDefault="00204676">
      <w:bookmarkStart w:id="0" w:name="_GoBack"/>
      <w:bookmarkEnd w:id="0"/>
    </w:p>
    <w:sectPr w:rsidR="00204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 w15:restartNumberingAfterBreak="0">
    <w:nsid w:val="27540A53"/>
    <w:multiLevelType w:val="hybridMultilevel"/>
    <w:tmpl w:val="939AF57A"/>
    <w:lvl w:ilvl="0" w:tplc="040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DA"/>
    <w:rsid w:val="00204676"/>
    <w:rsid w:val="00563BDA"/>
    <w:rsid w:val="00BE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7B3D6-E671-45B1-BEBC-328A62DE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EAD"/>
    <w:pPr>
      <w:spacing w:after="200" w:line="276" w:lineRule="auto"/>
    </w:pPr>
    <w:rPr>
      <w:rFonts w:ascii="Calibri" w:eastAsia="MS Mincho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ro-RO" sz="1200" i="1">
                <a:latin typeface="Times New Roman" pitchFamily="18" charset="0"/>
                <a:cs typeface="Times New Roman" pitchFamily="18" charset="0"/>
              </a:rPr>
              <a:t>Amplasarea teritorială a societăților</a:t>
            </a:r>
            <a:r>
              <a:rPr lang="ro-RO" sz="1200" i="1" baseline="0">
                <a:latin typeface="Times New Roman" pitchFamily="18" charset="0"/>
                <a:cs typeface="Times New Roman" pitchFamily="18" charset="0"/>
              </a:rPr>
              <a:t> de audit, auditorilor întreprinzători individuali</a:t>
            </a:r>
            <a:endParaRPr lang="ru-RU" sz="1200" i="1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043979658793444"/>
          <c:y val="2.9728317858572811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708015484200265E-4"/>
          <c:y val="0.19101434354604296"/>
          <c:w val="0.76744203849520065"/>
          <c:h val="0.791567929008873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layout>
                <c:manualLayout>
                  <c:x val="-7.6702573636629023E-2"/>
                  <c:y val="-0.3326809148856551"/>
                </c:manualLayout>
              </c:layout>
              <c:tx>
                <c:rich>
                  <a:bodyPr/>
                  <a:lstStyle/>
                  <a:p>
                    <a:pPr>
                      <a:defRPr sz="1800" b="1" i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800" b="1" i="1">
                        <a:latin typeface="Times New Roman" pitchFamily="18" charset="0"/>
                        <a:cs typeface="Times New Roman" pitchFamily="18" charset="0"/>
                      </a:rPr>
                      <a:t>89</a:t>
                    </a:r>
                    <a:r>
                      <a:rPr lang="en-US" sz="1600" b="1" i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26-4582-B791-CB19D22BEDF1}"/>
                </c:ext>
              </c:extLst>
            </c:dLbl>
            <c:dLbl>
              <c:idx val="1"/>
              <c:layout>
                <c:manualLayout>
                  <c:x val="6.6815762613006702E-2"/>
                  <c:y val="9.220923655729471E-2"/>
                </c:manualLayout>
              </c:layout>
              <c:tx>
                <c:rich>
                  <a:bodyPr/>
                  <a:lstStyle/>
                  <a:p>
                    <a:pPr>
                      <a:defRPr sz="1600" b="1" i="1"/>
                    </a:pPr>
                    <a:r>
                      <a:rPr lang="en-US" sz="1600" b="1" i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 sz="1600">
                        <a:latin typeface="Times New Roman" pitchFamily="18" charset="0"/>
                        <a:cs typeface="Times New Roman" pitchFamily="18" charset="0"/>
                      </a:rPr>
                      <a:t>,3%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26-4582-B791-CB19D22BEDF1}"/>
                </c:ext>
              </c:extLst>
            </c:dLbl>
            <c:dLbl>
              <c:idx val="2"/>
              <c:layout>
                <c:manualLayout>
                  <c:x val="3.6211905803441496E-2"/>
                  <c:y val="2.0040291573722852E-2"/>
                </c:manualLayout>
              </c:layout>
              <c:tx>
                <c:rich>
                  <a:bodyPr/>
                  <a:lstStyle/>
                  <a:p>
                    <a:pPr>
                      <a:defRPr sz="1600" b="1" i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600" b="1" i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 sz="1600">
                        <a:latin typeface="Times New Roman" pitchFamily="18" charset="0"/>
                        <a:cs typeface="Times New Roman" pitchFamily="18" charset="0"/>
                      </a:rPr>
                      <a:t>,8%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26-4582-B791-CB19D22BEDF1}"/>
                </c:ext>
              </c:extLst>
            </c:dLbl>
            <c:dLbl>
              <c:idx val="3"/>
              <c:layout>
                <c:manualLayout>
                  <c:x val="6.2386993292507097E-2"/>
                  <c:y val="5.4573602028559987E-2"/>
                </c:manualLayout>
              </c:layout>
              <c:tx>
                <c:rich>
                  <a:bodyPr/>
                  <a:lstStyle/>
                  <a:p>
                    <a:pPr>
                      <a:defRPr sz="1600" b="1" i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600" b="1" i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 sz="1600">
                        <a:latin typeface="Times New Roman" pitchFamily="18" charset="0"/>
                        <a:cs typeface="Times New Roman" pitchFamily="18" charset="0"/>
                      </a:rPr>
                      <a:t>,9%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26-4582-B791-CB19D22BED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 b="1" i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mun. Chișinău </c:v>
                </c:pt>
                <c:pt idx="1">
                  <c:v>mun. Bălți</c:v>
                </c:pt>
                <c:pt idx="2">
                  <c:v>or. Cahul</c:v>
                </c:pt>
                <c:pt idx="3">
                  <c:v>alte localități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101</c:v>
                </c:pt>
                <c:pt idx="1">
                  <c:v>6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26-4582-B791-CB19D22BED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mun. Chișinău </c:v>
                </c:pt>
                <c:pt idx="1">
                  <c:v>mun. Bălți</c:v>
                </c:pt>
                <c:pt idx="2">
                  <c:v>or. Cahul</c:v>
                </c:pt>
                <c:pt idx="3">
                  <c:v>alte localități 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 formatCode="0%">
                  <c:v>0.89</c:v>
                </c:pt>
                <c:pt idx="1">
                  <c:v>5.3000000000000012E-2</c:v>
                </c:pt>
                <c:pt idx="2">
                  <c:v>1.7999999999999999E-2</c:v>
                </c:pt>
                <c:pt idx="3" formatCode="General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726-4582-B791-CB19D22BED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chemeClr val="accent1">
            <a:lumMod val="20000"/>
            <a:lumOff val="80000"/>
          </a:schemeClr>
        </a:solidFill>
      </c:spPr>
    </c:plotArea>
    <c:legend>
      <c:legendPos val="r"/>
      <c:overlay val="0"/>
      <c:spPr>
        <a:solidFill>
          <a:schemeClr val="accent6">
            <a:lumMod val="40000"/>
            <a:lumOff val="60000"/>
          </a:schemeClr>
        </a:solidFill>
      </c:spPr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2018-10-15T11:23:00Z</dcterms:created>
  <dcterms:modified xsi:type="dcterms:W3CDTF">2018-10-15T11:23:00Z</dcterms:modified>
</cp:coreProperties>
</file>